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9A" w:rsidRPr="00F95809" w:rsidRDefault="00631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31A9A" w:rsidRPr="00F95809" w:rsidRDefault="00631A9A">
      <w:pPr>
        <w:spacing w:after="0" w:line="240" w:lineRule="auto"/>
        <w:rPr>
          <w:rFonts w:ascii="Arial" w:eastAsia="Arial" w:hAnsi="Arial" w:cs="Arial"/>
          <w:b/>
          <w:bCs/>
          <w:sz w:val="44"/>
          <w:szCs w:val="44"/>
        </w:rPr>
      </w:pPr>
    </w:p>
    <w:p w:rsidR="00631A9A" w:rsidRPr="00F95809" w:rsidRDefault="0072524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  <w:r w:rsidRPr="00F95809">
        <w:rPr>
          <w:rFonts w:ascii="Arial" w:eastAsia="Arial" w:hAnsi="Arial" w:cs="Arial"/>
          <w:b/>
          <w:bCs/>
          <w:sz w:val="44"/>
          <w:szCs w:val="44"/>
          <w:u w:val="single"/>
          <w:rtl/>
        </w:rPr>
        <w:t>قائمة التحقق الخاصة بالتعاقد الخارجي مع وكالات/مقاولي توظيف</w:t>
      </w:r>
    </w:p>
    <w:p w:rsidR="00631A9A" w:rsidRPr="00F95809" w:rsidRDefault="00631A9A">
      <w:pPr>
        <w:spacing w:after="0" w:line="240" w:lineRule="auto"/>
        <w:rPr>
          <w:rFonts w:ascii="Arial" w:eastAsia="Arial" w:hAnsi="Arial" w:cs="Arial"/>
          <w:b/>
          <w:bCs/>
          <w:sz w:val="44"/>
          <w:szCs w:val="44"/>
        </w:rPr>
      </w:pPr>
    </w:p>
    <w:p w:rsidR="00631A9A" w:rsidRPr="00F95809" w:rsidRDefault="00725245">
      <w:pPr>
        <w:numPr>
          <w:ilvl w:val="0"/>
          <w:numId w:val="6"/>
        </w:numPr>
        <w:bidi/>
        <w:spacing w:after="0" w:line="240" w:lineRule="auto"/>
        <w:contextualSpacing/>
        <w:rPr>
          <w:b/>
          <w:bCs/>
          <w:sz w:val="44"/>
          <w:szCs w:val="44"/>
        </w:rPr>
      </w:pPr>
      <w:r w:rsidRPr="00F95809">
        <w:rPr>
          <w:rFonts w:ascii="Arial" w:eastAsia="Arial" w:hAnsi="Arial" w:cs="Arial"/>
          <w:b/>
          <w:bCs/>
          <w:sz w:val="44"/>
          <w:szCs w:val="44"/>
          <w:rtl/>
        </w:rPr>
        <w:t>الشركة: الشركة عميلٌ لمقدّم الخدمة</w:t>
      </w:r>
    </w:p>
    <w:p w:rsidR="00631A9A" w:rsidRPr="00F95809" w:rsidRDefault="00725245">
      <w:pPr>
        <w:numPr>
          <w:ilvl w:val="0"/>
          <w:numId w:val="6"/>
        </w:numPr>
        <w:shd w:val="clear" w:color="auto" w:fill="FFFFFF"/>
        <w:bidi/>
        <w:spacing w:after="0"/>
        <w:contextualSpacing/>
        <w:rPr>
          <w:b/>
          <w:bCs/>
          <w:sz w:val="44"/>
          <w:szCs w:val="44"/>
        </w:rPr>
      </w:pPr>
      <w:r w:rsidRPr="00F95809">
        <w:rPr>
          <w:rFonts w:ascii="Arial" w:eastAsia="Arial" w:hAnsi="Arial" w:cs="Arial"/>
          <w:b/>
          <w:bCs/>
          <w:sz w:val="44"/>
          <w:szCs w:val="44"/>
          <w:rtl/>
        </w:rPr>
        <w:t>مقدّم الخدمة / المتعاقد من الباطن:  الطرف الذي يقدّم الخدمات</w:t>
      </w:r>
    </w:p>
    <w:p w:rsidR="00631A9A" w:rsidRPr="00F95809" w:rsidRDefault="00725245">
      <w:pPr>
        <w:numPr>
          <w:ilvl w:val="0"/>
          <w:numId w:val="6"/>
        </w:numPr>
        <w:shd w:val="clear" w:color="auto" w:fill="FFFFFF"/>
        <w:bidi/>
        <w:spacing w:after="100" w:line="240" w:lineRule="auto"/>
        <w:contextualSpacing/>
        <w:rPr>
          <w:b/>
          <w:bCs/>
          <w:sz w:val="44"/>
          <w:szCs w:val="44"/>
        </w:rPr>
      </w:pPr>
      <w:r w:rsidRPr="00F95809">
        <w:rPr>
          <w:rFonts w:ascii="Arial" w:eastAsia="Arial" w:hAnsi="Arial" w:cs="Arial"/>
          <w:b/>
          <w:bCs/>
          <w:sz w:val="44"/>
          <w:szCs w:val="44"/>
          <w:rtl/>
        </w:rPr>
        <w:t>الموظف: موظفٌ لدى مقدّم الخدمة يُقدّم الخدمات. </w:t>
      </w:r>
    </w:p>
    <w:tbl>
      <w:tblPr>
        <w:tblStyle w:val="a"/>
        <w:bidiVisual/>
        <w:tblW w:w="1135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9"/>
        <w:gridCol w:w="8201"/>
        <w:gridCol w:w="1278"/>
      </w:tblGrid>
      <w:tr w:rsidR="00631A9A" w:rsidRPr="00F95809" w:rsidTr="00824C89">
        <w:tc>
          <w:tcPr>
            <w:tcW w:w="1879" w:type="dxa"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8DB3E2"/>
          </w:tcPr>
          <w:p w:rsidR="00631A9A" w:rsidRPr="00F95809" w:rsidRDefault="00725245">
            <w:pPr>
              <w:bidi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  <w:rtl/>
              </w:rPr>
              <w:t>العبارة</w:t>
            </w:r>
          </w:p>
        </w:tc>
        <w:tc>
          <w:tcPr>
            <w:tcW w:w="1278" w:type="dxa"/>
            <w:shd w:val="clear" w:color="auto" w:fill="8DB3E2"/>
          </w:tcPr>
          <w:p w:rsidR="00631A9A" w:rsidRPr="00F95809" w:rsidRDefault="00027F04">
            <w:pPr>
              <w:bidi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</w:rPr>
            </w:pPr>
            <w:r w:rsidRPr="00F95809">
              <w:rPr>
                <w:rFonts w:ascii="Arial" w:eastAsia="Arial" w:hAnsi="Arial" w:cs="Arial" w:hint="cs"/>
                <w:b/>
                <w:bCs/>
                <w:sz w:val="44"/>
                <w:szCs w:val="44"/>
                <w:shd w:val="clear" w:color="auto" w:fill="8EAADB"/>
                <w:rtl/>
              </w:rPr>
              <w:t>مربع</w:t>
            </w:r>
            <w:r w:rsidR="00725245"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  <w:rtl/>
              </w:rPr>
              <w:t xml:space="preserve"> التحديد</w:t>
            </w:r>
          </w:p>
        </w:tc>
      </w:tr>
      <w:tr w:rsidR="00631A9A" w:rsidRPr="00F95809" w:rsidTr="00824C89">
        <w:tc>
          <w:tcPr>
            <w:tcW w:w="1879" w:type="dxa"/>
            <w:vMerge w:val="restart"/>
            <w:shd w:val="clear" w:color="auto" w:fill="95B3D7"/>
          </w:tcPr>
          <w:p w:rsidR="00631A9A" w:rsidRPr="00F95809" w:rsidRDefault="00631A9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</w:rPr>
            </w:pPr>
          </w:p>
          <w:p w:rsidR="00631A9A" w:rsidRPr="00F95809" w:rsidRDefault="00725245">
            <w:pPr>
              <w:bidi/>
              <w:spacing w:after="120"/>
              <w:jc w:val="center"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  <w:rtl/>
              </w:rPr>
              <w:t>تقييم الاحتياجات</w:t>
            </w: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6"/>
              </w:numPr>
              <w:bidi/>
              <w:spacing w:after="200" w:line="276" w:lineRule="auto"/>
              <w:contextualSpacing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ما احتي</w:t>
            </w:r>
            <w:bookmarkStart w:id="0" w:name="_GoBack"/>
            <w:bookmarkEnd w:id="0"/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اجات الأعمال والخدمات التي لا يمكن التكليف بها داخليًا في الوقت الراهن، كالتنظيف والأمن وتكنولوجيا المعلومات و/أو التموين؟ 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6"/>
              </w:numPr>
              <w:bidi/>
              <w:spacing w:after="200" w:line="276" w:lineRule="auto"/>
              <w:contextualSpacing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هل جرى تقييم للعمل بشأن ما إذا كان يتعيّن التكليف بهذه الاحتياجات داخليًا أم التعاقد مع جهاتٍ خارجيةٍ لأدائها أم لا، وما السبب، كالقدرة على الرقابة على سبيل المثال؟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6"/>
              </w:numPr>
              <w:bidi/>
              <w:spacing w:after="200" w:line="276" w:lineRule="auto"/>
              <w:contextualSpacing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إذا تقرّر التعاقد مع جهاتٍ خارجية، فهل فكّرتم بشروط التوظيف التي تنطبق على أولئك العاملين وأحكامه؟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 w:val="restart"/>
            <w:shd w:val="clear" w:color="auto" w:fill="95B3D7"/>
          </w:tcPr>
          <w:p w:rsidR="00631A9A" w:rsidRPr="00F95809" w:rsidRDefault="00631A9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725245">
            <w:pPr>
              <w:bidi/>
              <w:spacing w:after="120"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  <w:rtl/>
              </w:rPr>
              <w:t>قبل العطاء</w:t>
            </w:r>
          </w:p>
          <w:p w:rsidR="00631A9A" w:rsidRPr="00F95809" w:rsidRDefault="00725245">
            <w:pPr>
              <w:bidi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  <w:rtl/>
              </w:rPr>
              <w:t>(التأهيل</w:t>
            </w:r>
          </w:p>
          <w:p w:rsidR="00631A9A" w:rsidRPr="00F95809" w:rsidRDefault="00725245">
            <w:pPr>
              <w:bidi/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  <w:rtl/>
              </w:rPr>
              <w:t>المسبق</w:t>
            </w:r>
          </w:p>
          <w:p w:rsidR="00631A9A" w:rsidRPr="00F95809" w:rsidRDefault="00725245">
            <w:pPr>
              <w:bidi/>
              <w:jc w:val="center"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  <w:rtl/>
              </w:rPr>
              <w:t>للعطاء)</w:t>
            </w: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6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lastRenderedPageBreak/>
              <w:t xml:space="preserve">ليس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 موضوعًا على القائمة السوداء في قطر أو بلدٍ آخر.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7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ينبغي ألا يفرض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 أي رسومٍ على العاملين المعيّنين.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 مستعدّ لمشاركة 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lastRenderedPageBreak/>
              <w:t>الوثائق كلّها معكم بشأن توظيف العمّال (العقد، الشروط والأحكام، وغيرها).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يلتزم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بأحد المعايير المتوفرة (معايير مؤسسة قطر، معايير اللجنة العليا للمشاريع والإرث) إضافةً إلى قانون العمل القطري.</w:t>
            </w:r>
          </w:p>
          <w:p w:rsidR="00631A9A" w:rsidRPr="00F95809" w:rsidRDefault="00725245">
            <w:pPr>
              <w:numPr>
                <w:ilvl w:val="0"/>
                <w:numId w:val="2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هناك بند صريح في العقد بين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 و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rtl/>
              </w:rPr>
              <w:t>الشركة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يفرض على المقاول الالتزام بالعقد المختار.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4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ليس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 طرفًا في أي دعاوى قضائية خلال العامين الأخيرين في قطر أو في بلد المنشأ. 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7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هل تُتّبع إجراءات التعيين الرسمية والقانونية في البلد الأم؟</w:t>
            </w:r>
          </w:p>
          <w:p w:rsidR="00631A9A" w:rsidRPr="00F95809" w:rsidRDefault="00725245">
            <w:pPr>
              <w:numPr>
                <w:ilvl w:val="0"/>
                <w:numId w:val="7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هل نفّذتم إجراءات العناية الواجبة لضمان ألا يكون العامل قد سدّد أي رسوم توظيف؟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9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هل تعلمون أن فرض رسمٍ على التوظيف من قبل 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rtl/>
              </w:rPr>
              <w:t>ربّ العمل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، سواء في البلد الأصلي أو بلد المقصد غير قانوني حسب القوانين القطرية، وأنه يُصنّف بمثابة ابتزازٍ ورشوةٍ وفساد؟ </w:t>
            </w:r>
          </w:p>
          <w:p w:rsidR="00631A9A" w:rsidRPr="00F95809" w:rsidRDefault="00725245">
            <w:pPr>
              <w:numPr>
                <w:ilvl w:val="0"/>
                <w:numId w:val="9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لا يمكن نقل تكلفة التوظيف ليتكبّدها 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rtl/>
              </w:rPr>
              <w:t>ربّ العمل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، بل يجب أن يسدّدها المقاول. ويعني هذا زيادة تكلفة العقد بنسبةٍ مكافئة.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2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هل قدّمتم إلى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 نموذجًا عن العقد بين 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rtl/>
              </w:rPr>
              <w:t>ربّ العمل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و 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. (ينبغي أن ينصّ هذا 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lastRenderedPageBreak/>
              <w:t>النموذج على أحكامٍ خاصةٍ بالصحة والسلامة وعددٍ كافٍ من أيام الإجازات وشروطِ الترحيل وتذاكر العودة إلى البلد الأم والرعاية الصحية)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 w:val="restart"/>
            <w:shd w:val="clear" w:color="auto" w:fill="95B3D7"/>
          </w:tcPr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725245">
            <w:pPr>
              <w:bidi/>
              <w:jc w:val="center"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  <w:rtl/>
              </w:rPr>
              <w:t>تقديم العطاءات</w:t>
            </w:r>
          </w:p>
        </w:tc>
        <w:tc>
          <w:tcPr>
            <w:tcW w:w="8201" w:type="dxa"/>
            <w:shd w:val="clear" w:color="auto" w:fill="8DB3E2"/>
          </w:tcPr>
          <w:p w:rsidR="00631A9A" w:rsidRPr="00F95809" w:rsidRDefault="00725245">
            <w:pPr>
              <w:bidi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  <w:rtl/>
              </w:rPr>
              <w:t xml:space="preserve">كيف تحتوي مسائل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  <w:rtl/>
              </w:rPr>
              <w:t xml:space="preserve"> هنا؟</w:t>
            </w:r>
          </w:p>
        </w:tc>
        <w:tc>
          <w:tcPr>
            <w:tcW w:w="1278" w:type="dxa"/>
            <w:shd w:val="clear" w:color="auto" w:fill="8DB3E2"/>
          </w:tcPr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8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لقد أخذتم ناحية رفاهية العاملين في الحسبان خلال عملية تقديم العطاءات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0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حدّدت وكالة/مقاول التوظيف رفاه العاملين في الرسالة أو الرؤية أو الهدف أو السياسة.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3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لقد دقّقت مزاعم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عبر الفحص الماديّ لمعايير السّكن ورفاه العاملين.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4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لدى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أرصدة في الحفظ لتغطية رواتب العمّال خلال مدة العقد.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5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لم تتوصلوا بصفتكم عميلاً إلى تسويةٍ بشأن معايير الرفاه خلال مرحلة تقديم العطاءات.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 w:rsidP="00F95809">
            <w:pPr>
              <w:numPr>
                <w:ilvl w:val="0"/>
                <w:numId w:val="15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لقد طلبتم، بصفتكم عميلاً، من المقاول تفاصيل عن الراتب </w:t>
            </w:r>
            <w:r w:rsidR="00F95809">
              <w:rPr>
                <w:rFonts w:ascii="Arial" w:eastAsia="Arial" w:hAnsi="Arial" w:cs="Arial" w:hint="cs"/>
                <w:b/>
                <w:bCs/>
                <w:sz w:val="44"/>
                <w:szCs w:val="44"/>
                <w:shd w:val="clear" w:color="auto" w:fill="DEEAF6"/>
                <w:rtl/>
              </w:rPr>
              <w:t>الذي</w:t>
            </w:r>
            <w:r w:rsidR="00F95809"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سيُسدّد، بما في ذلك أجور العمل الإضافي. (*)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 w:val="restart"/>
            <w:shd w:val="clear" w:color="auto" w:fill="95B3D7"/>
          </w:tcPr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725245">
            <w:pPr>
              <w:bidi/>
              <w:jc w:val="center"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  <w:rtl/>
              </w:rPr>
              <w:lastRenderedPageBreak/>
              <w:t>إرساء العقد</w:t>
            </w:r>
          </w:p>
        </w:tc>
        <w:tc>
          <w:tcPr>
            <w:tcW w:w="8201" w:type="dxa"/>
            <w:shd w:val="clear" w:color="auto" w:fill="8DB3E2"/>
          </w:tcPr>
          <w:p w:rsidR="00631A9A" w:rsidRPr="00F95809" w:rsidRDefault="00725245">
            <w:pPr>
              <w:bidi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  <w:rtl/>
              </w:rPr>
              <w:lastRenderedPageBreak/>
              <w:t>هل استوفيت معايير التوظيف الأخلاقي والسكن وما إلى ذلك؟</w:t>
            </w:r>
          </w:p>
        </w:tc>
        <w:tc>
          <w:tcPr>
            <w:tcW w:w="1278" w:type="dxa"/>
            <w:shd w:val="clear" w:color="auto" w:fill="8DB3E2"/>
          </w:tcPr>
          <w:p w:rsidR="00631A9A" w:rsidRPr="00F95809" w:rsidRDefault="00631A9A">
            <w:pPr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7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على استعدادٍ للتحلي بالشفافية بشأن كافة المخاوف المتصلة برفاه العاملين. (يمكن أن يتضمن ذلك كافة وثائق هذا العقد بالتحديد. ويمكن أن يتضمن أيضًا الإذن بالتدقيق الداخلي والخارجي على وكالة/مقاول التوظيف، وسيُسمح للعميل بأن يتفاعل مباشرةً مع 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lastRenderedPageBreak/>
              <w:t>العمال فيما يخصّ مظالمهم).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highlight w:val="white"/>
              </w:rPr>
              <w:t xml:space="preserve"> 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8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لم تتوصلوا بصفتكم عميلاً إلى تسويةٍ بشأن معايير الرفاه خلال مرحلة إرساء العقد النهائية.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9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يتضمن أفضل عرض نهائي (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</w:rPr>
              <w:t>BAFO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) كافة الشروط والأحكام المحددة مبدئيًا خلال العملية السابقة للعطاء.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highlight w:val="white"/>
              </w:rPr>
              <w:t xml:space="preserve"> 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30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بعد أن شرع </w:t>
            </w:r>
            <w:r w:rsidRPr="00F95809">
              <w:rPr>
                <w:rFonts w:ascii="Arial" w:eastAsia="Arial" w:hAnsi="Arial" w:cs="Arial"/>
                <w:b/>
                <w:bCs/>
                <w:color w:val="222222"/>
                <w:sz w:val="44"/>
                <w:szCs w:val="44"/>
                <w:rtl/>
              </w:rPr>
              <w:t>مقدم الخدمة/المتعاقد من الباطن</w:t>
            </w: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 بتعيين العاملين في المشروع،  هل قدّم إليهم أي توجيهٍ لإعلامهم بالحقوق والأعراف وآليات التظلّم؟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31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لقد ضمنتم بصفتكم عميلاً أن الرواتب والمستحقّات المقدّمة إلى العمّال لا علاقة لها بجنسية العامل ودينه وطبقته الاجتماعية وجنسه. 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 w:val="restart"/>
            <w:shd w:val="clear" w:color="auto" w:fill="95B3D7"/>
          </w:tcPr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631A9A">
            <w:pPr>
              <w:jc w:val="center"/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F2F2F2"/>
              </w:rPr>
            </w:pPr>
          </w:p>
          <w:p w:rsidR="00631A9A" w:rsidRPr="00F95809" w:rsidRDefault="00725245">
            <w:pPr>
              <w:bidi/>
              <w:jc w:val="center"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DB3E2"/>
                <w:rtl/>
              </w:rPr>
              <w:t>التوظيف</w:t>
            </w:r>
          </w:p>
        </w:tc>
        <w:tc>
          <w:tcPr>
            <w:tcW w:w="8201" w:type="dxa"/>
            <w:shd w:val="clear" w:color="auto" w:fill="8DB3E2"/>
          </w:tcPr>
          <w:p w:rsidR="00631A9A" w:rsidRPr="00F95809" w:rsidRDefault="00725245">
            <w:pPr>
              <w:bidi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8EAADB"/>
                <w:rtl/>
              </w:rPr>
              <w:lastRenderedPageBreak/>
              <w:t>حالما يشرع العامل المتعاقد معه بالعمل، تشمل سائر الجوانب التي عليك الاعتناء بها ما يلي:</w:t>
            </w:r>
          </w:p>
        </w:tc>
        <w:tc>
          <w:tcPr>
            <w:tcW w:w="1278" w:type="dxa"/>
            <w:shd w:val="clear" w:color="auto" w:fill="8DB3E2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1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سداد الأجور في الوقت المحدد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2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توافق مبالغ الرواتب مع بنود العقد بدون اقتطاعات </w:t>
            </w:r>
          </w:p>
          <w:p w:rsidR="00631A9A" w:rsidRPr="00F95809" w:rsidRDefault="00725245">
            <w:pPr>
              <w:numPr>
                <w:ilvl w:val="0"/>
                <w:numId w:val="22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استجواب العاملين لضمان حصولهم على الأجور المُتّفق عليها مع المقاول (*كما هو منصوص عليه في فقرة تقديم العطاءات)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3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عدم تبديل العقد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4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أن يكون العقد الموقع مع العامل مكتوبًا بلغة العامل أيضًا. 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5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أن يكون عدد ساعات عمل العامل خاضعًا لقانون العمل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6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أن تكون شروط معيشة العمال</w:t>
            </w:r>
          </w:p>
          <w:p w:rsidR="00631A9A" w:rsidRPr="00F95809" w:rsidRDefault="00725245">
            <w:pPr>
              <w:numPr>
                <w:ilvl w:val="0"/>
                <w:numId w:val="11"/>
              </w:numPr>
              <w:shd w:val="clear" w:color="auto" w:fill="DEEAF6"/>
              <w:bidi/>
              <w:spacing w:line="276" w:lineRule="auto"/>
              <w:contextualSpacing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lastRenderedPageBreak/>
              <w:t>مطابقةً لما ورد في عقد العمل</w:t>
            </w:r>
          </w:p>
          <w:p w:rsidR="00631A9A" w:rsidRPr="00F95809" w:rsidRDefault="00725245">
            <w:pPr>
              <w:numPr>
                <w:ilvl w:val="0"/>
                <w:numId w:val="11"/>
              </w:numPr>
              <w:shd w:val="clear" w:color="auto" w:fill="DEEAF6"/>
              <w:bidi/>
              <w:spacing w:after="200" w:line="276" w:lineRule="auto"/>
              <w:contextualSpacing/>
              <w:rPr>
                <w:rFonts w:ascii="Arial" w:eastAsia="Arial" w:hAnsi="Arial" w:cs="Arial"/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 xml:space="preserve">مطابقةً لمعايير مؤسسة قطر 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8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أن تتضمن ساعاتُ العمل الزمن اللازم للذهاب إلى العمل والإياب منه إذا كان ذلك الزمن يتجاوز 60-90 دقيقة.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9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ترسيخ المساواة في المعاملة، وفق ما هو منصوص عليه في فقرة إرساء العقد، وأن تحظى العاملات الإناث بعقودٍ شروطها شبيهة لشروط العقود المخصصة للعاملين الذكور.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19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في حال توظيف عاملاتٍ إناث، ما هي ترتيبات المعيشة الخاصة بهن؟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0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عند توظيف عاملات إناث، فهل هنّ عرضةٌ لبنودٍ تمييزيةٍ تقيّد تنقّلهن وحريّتهن؟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20"/>
              </w:numPr>
              <w:shd w:val="clear" w:color="auto" w:fill="DEEAF6"/>
              <w:bidi/>
              <w:rPr>
                <w:b/>
                <w:bCs/>
                <w:sz w:val="44"/>
                <w:szCs w:val="44"/>
                <w:shd w:val="clear" w:color="auto" w:fill="DEEAF6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هل ستنجزون عمليات تفتيش مستقلة؟ عندما تكون القوى العاملة من الإناث كبيرة، ضعوا في الحسبان عدم وجود مفتشات عمل في قطر.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3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أن تؤدّوا، بصفتكم العميل، دورًا محوريًا في الوكالة يتمثل بمعالجة مشكلات العمّال.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1A9A" w:rsidRPr="00F95809" w:rsidTr="00824C89">
        <w:tc>
          <w:tcPr>
            <w:tcW w:w="1879" w:type="dxa"/>
            <w:vMerge/>
            <w:shd w:val="clear" w:color="auto" w:fill="95B3D7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201" w:type="dxa"/>
            <w:shd w:val="clear" w:color="auto" w:fill="DBE5F1"/>
          </w:tcPr>
          <w:p w:rsidR="00631A9A" w:rsidRPr="00F95809" w:rsidRDefault="00725245">
            <w:pPr>
              <w:numPr>
                <w:ilvl w:val="0"/>
                <w:numId w:val="5"/>
              </w:numPr>
              <w:shd w:val="clear" w:color="auto" w:fill="DEEAF6"/>
              <w:bidi/>
              <w:rPr>
                <w:b/>
                <w:bCs/>
                <w:sz w:val="44"/>
                <w:szCs w:val="44"/>
              </w:rPr>
            </w:pPr>
            <w:bookmarkStart w:id="1" w:name="_gjdgxs" w:colFirst="0" w:colLast="0"/>
            <w:bookmarkEnd w:id="1"/>
            <w:r w:rsidRPr="00F95809">
              <w:rPr>
                <w:rFonts w:ascii="Arial" w:eastAsia="Arial" w:hAnsi="Arial" w:cs="Arial"/>
                <w:b/>
                <w:bCs/>
                <w:sz w:val="44"/>
                <w:szCs w:val="44"/>
                <w:shd w:val="clear" w:color="auto" w:fill="DEEAF6"/>
                <w:rtl/>
              </w:rPr>
              <w:t>أن يكون بحوزة العامل جواز سفره، هويته القطرية، بطاقة الصراف الآلي خاصته، بطاقته الصحية.</w:t>
            </w:r>
          </w:p>
        </w:tc>
        <w:tc>
          <w:tcPr>
            <w:tcW w:w="1278" w:type="dxa"/>
          </w:tcPr>
          <w:p w:rsidR="00631A9A" w:rsidRPr="00F95809" w:rsidRDefault="00631A9A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631A9A" w:rsidRPr="00F95809" w:rsidRDefault="00631A9A">
      <w:pPr>
        <w:rPr>
          <w:b/>
          <w:bCs/>
          <w:sz w:val="44"/>
          <w:szCs w:val="44"/>
        </w:rPr>
      </w:pPr>
    </w:p>
    <w:sectPr w:rsidR="00631A9A" w:rsidRPr="00F95809" w:rsidSect="0072601A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28" w:rsidRDefault="00457828">
      <w:pPr>
        <w:spacing w:after="0" w:line="240" w:lineRule="auto"/>
      </w:pPr>
      <w:r>
        <w:separator/>
      </w:r>
    </w:p>
  </w:endnote>
  <w:endnote w:type="continuationSeparator" w:id="0">
    <w:p w:rsidR="00457828" w:rsidRDefault="0045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9A" w:rsidRDefault="0072601A">
    <w:pPr>
      <w:tabs>
        <w:tab w:val="center" w:pos="4320"/>
        <w:tab w:val="right" w:pos="8640"/>
      </w:tabs>
      <w:bidi/>
      <w:spacing w:after="0" w:line="240" w:lineRule="auto"/>
      <w:jc w:val="center"/>
    </w:pPr>
    <w:r>
      <w:fldChar w:fldCharType="begin"/>
    </w:r>
    <w:r w:rsidR="00725245">
      <w:instrText>PAGE</w:instrText>
    </w:r>
    <w:r>
      <w:fldChar w:fldCharType="separate"/>
    </w:r>
    <w:r w:rsidR="00824C89">
      <w:rPr>
        <w:noProof/>
      </w:rPr>
      <w:t>2</w:t>
    </w:r>
    <w:r>
      <w:fldChar w:fldCharType="end"/>
    </w:r>
  </w:p>
  <w:p w:rsidR="00631A9A" w:rsidRDefault="00631A9A">
    <w:pPr>
      <w:tabs>
        <w:tab w:val="center" w:pos="4320"/>
        <w:tab w:val="right" w:pos="864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28" w:rsidRDefault="00457828">
      <w:pPr>
        <w:spacing w:after="0" w:line="240" w:lineRule="auto"/>
      </w:pPr>
      <w:r>
        <w:separator/>
      </w:r>
    </w:p>
  </w:footnote>
  <w:footnote w:type="continuationSeparator" w:id="0">
    <w:p w:rsidR="00457828" w:rsidRDefault="0045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5A0"/>
    <w:multiLevelType w:val="multilevel"/>
    <w:tmpl w:val="143A3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3CC4634"/>
    <w:multiLevelType w:val="multilevel"/>
    <w:tmpl w:val="EAF2D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52D2C4B"/>
    <w:multiLevelType w:val="multilevel"/>
    <w:tmpl w:val="C568C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83F7E2F"/>
    <w:multiLevelType w:val="multilevel"/>
    <w:tmpl w:val="68645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D8303BB"/>
    <w:multiLevelType w:val="multilevel"/>
    <w:tmpl w:val="91225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0E4F1774"/>
    <w:multiLevelType w:val="multilevel"/>
    <w:tmpl w:val="C846B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0DF60C9"/>
    <w:multiLevelType w:val="multilevel"/>
    <w:tmpl w:val="9F3EB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0E96210"/>
    <w:multiLevelType w:val="multilevel"/>
    <w:tmpl w:val="B0E4C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3F56368"/>
    <w:multiLevelType w:val="multilevel"/>
    <w:tmpl w:val="BFE40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5903760"/>
    <w:multiLevelType w:val="multilevel"/>
    <w:tmpl w:val="45B83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88B0F1B"/>
    <w:multiLevelType w:val="multilevel"/>
    <w:tmpl w:val="78BE9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96A09C3"/>
    <w:multiLevelType w:val="multilevel"/>
    <w:tmpl w:val="6520E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E385317"/>
    <w:multiLevelType w:val="multilevel"/>
    <w:tmpl w:val="C68EDD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4060D9"/>
    <w:multiLevelType w:val="multilevel"/>
    <w:tmpl w:val="7E6EA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E615393"/>
    <w:multiLevelType w:val="multilevel"/>
    <w:tmpl w:val="0EA2A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409B38FE"/>
    <w:multiLevelType w:val="multilevel"/>
    <w:tmpl w:val="5922E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5F16772"/>
    <w:multiLevelType w:val="multilevel"/>
    <w:tmpl w:val="82883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64C2515"/>
    <w:multiLevelType w:val="multilevel"/>
    <w:tmpl w:val="9D6E1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474D0B4A"/>
    <w:multiLevelType w:val="multilevel"/>
    <w:tmpl w:val="97C29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EB70510"/>
    <w:multiLevelType w:val="multilevel"/>
    <w:tmpl w:val="C9DA4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57ED5856"/>
    <w:multiLevelType w:val="multilevel"/>
    <w:tmpl w:val="291C6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66B2055B"/>
    <w:multiLevelType w:val="multilevel"/>
    <w:tmpl w:val="5B3A1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67C65ABA"/>
    <w:multiLevelType w:val="multilevel"/>
    <w:tmpl w:val="9DD44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B8B0AA4"/>
    <w:multiLevelType w:val="multilevel"/>
    <w:tmpl w:val="B6A68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6E557900"/>
    <w:multiLevelType w:val="multilevel"/>
    <w:tmpl w:val="B400E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6E88359E"/>
    <w:multiLevelType w:val="multilevel"/>
    <w:tmpl w:val="3488B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2295608"/>
    <w:multiLevelType w:val="multilevel"/>
    <w:tmpl w:val="76400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746F214B"/>
    <w:multiLevelType w:val="multilevel"/>
    <w:tmpl w:val="F3F48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747C0909"/>
    <w:multiLevelType w:val="multilevel"/>
    <w:tmpl w:val="7BB40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7A6837F3"/>
    <w:multiLevelType w:val="multilevel"/>
    <w:tmpl w:val="28D28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7D613A85"/>
    <w:multiLevelType w:val="multilevel"/>
    <w:tmpl w:val="6B82C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23"/>
  </w:num>
  <w:num w:numId="5">
    <w:abstractNumId w:val="5"/>
  </w:num>
  <w:num w:numId="6">
    <w:abstractNumId w:val="7"/>
  </w:num>
  <w:num w:numId="7">
    <w:abstractNumId w:val="19"/>
  </w:num>
  <w:num w:numId="8">
    <w:abstractNumId w:val="16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6"/>
  </w:num>
  <w:num w:numId="18">
    <w:abstractNumId w:val="30"/>
  </w:num>
  <w:num w:numId="19">
    <w:abstractNumId w:val="28"/>
  </w:num>
  <w:num w:numId="20">
    <w:abstractNumId w:val="9"/>
  </w:num>
  <w:num w:numId="21">
    <w:abstractNumId w:val="25"/>
  </w:num>
  <w:num w:numId="22">
    <w:abstractNumId w:val="11"/>
  </w:num>
  <w:num w:numId="23">
    <w:abstractNumId w:val="1"/>
  </w:num>
  <w:num w:numId="24">
    <w:abstractNumId w:val="0"/>
  </w:num>
  <w:num w:numId="25">
    <w:abstractNumId w:val="29"/>
  </w:num>
  <w:num w:numId="26">
    <w:abstractNumId w:val="3"/>
  </w:num>
  <w:num w:numId="27">
    <w:abstractNumId w:val="18"/>
  </w:num>
  <w:num w:numId="28">
    <w:abstractNumId w:val="4"/>
  </w:num>
  <w:num w:numId="29">
    <w:abstractNumId w:val="14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A9A"/>
    <w:rsid w:val="00027F04"/>
    <w:rsid w:val="000902CF"/>
    <w:rsid w:val="00457828"/>
    <w:rsid w:val="00631A9A"/>
    <w:rsid w:val="00725245"/>
    <w:rsid w:val="0072601A"/>
    <w:rsid w:val="00824C89"/>
    <w:rsid w:val="00965269"/>
    <w:rsid w:val="00E13F7B"/>
    <w:rsid w:val="00F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BF8753-3332-4025-82BA-54CACFC5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601A"/>
  </w:style>
  <w:style w:type="paragraph" w:styleId="Heading1">
    <w:name w:val="heading 1"/>
    <w:basedOn w:val="Normal"/>
    <w:next w:val="Normal"/>
    <w:rsid w:val="007260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260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260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260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2601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260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2601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260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Bassel Ahmed</cp:lastModifiedBy>
  <cp:revision>6</cp:revision>
  <dcterms:created xsi:type="dcterms:W3CDTF">2017-11-14T12:13:00Z</dcterms:created>
  <dcterms:modified xsi:type="dcterms:W3CDTF">2017-11-15T15:04:00Z</dcterms:modified>
</cp:coreProperties>
</file>